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28hjx9e56xb" w:id="0"/>
      <w:bookmarkEnd w:id="0"/>
      <w:r w:rsidDel="00000000" w:rsidR="00000000" w:rsidRPr="00000000">
        <w:rPr>
          <w:b w:val="1"/>
          <w:bCs w:val="1"/>
          <w:sz w:val="46"/>
          <w:szCs w:val="46"/>
          <w:rtl w:val="0"/>
        </w:rPr>
        <w:t xml:space="preserve">Nelson eOPS &amp; Lived Expertise Coordinator Year-End Report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uhzr64bf8ed1" w:id="1"/>
      <w:bookmarkEnd w:id="1"/>
      <w:r w:rsidDel="00000000" w:rsidR="00000000" w:rsidRPr="00000000">
        <w:rPr>
          <w:b w:val="1"/>
          <w:bCs w:val="1"/>
          <w:sz w:val="34"/>
          <w:szCs w:val="34"/>
          <w:rtl w:val="0"/>
        </w:rPr>
        <w:t xml:space="preserve">Overview</w:t>
      </w:r>
    </w:p>
    <w:p w:rsidR="00000000" w:rsidDel="00000000" w:rsidP="00000000" w:rsidRDefault="00000000" w:rsidRPr="00000000" w14:paraId="00000003">
      <w:pPr>
        <w:spacing w:after="240" w:before="240" w:lineRule="auto"/>
        <w:rPr/>
      </w:pPr>
      <w:r w:rsidDel="00000000" w:rsidR="00000000" w:rsidRPr="00000000">
        <w:rPr>
          <w:rtl w:val="0"/>
        </w:rPr>
        <w:t xml:space="preserve">This year’s outreach and eOPS reporting reflects both the ongoing importance of community-based support services and the growing challenges facing vulnerable populations in Nelson and surrounding rural communities. Outreach, harm reduction, and peer-led initiatives continued to provide critical support for individuals experiencing housing instability, substance use, poverty, and mental health challenges.</w:t>
      </w:r>
    </w:p>
    <w:p w:rsidR="00000000" w:rsidDel="00000000" w:rsidP="00000000" w:rsidRDefault="00000000" w:rsidRPr="00000000" w14:paraId="00000004">
      <w:pPr>
        <w:spacing w:after="240" w:before="240" w:lineRule="auto"/>
        <w:rPr/>
      </w:pPr>
      <w:r w:rsidDel="00000000" w:rsidR="00000000" w:rsidRPr="00000000">
        <w:rPr>
          <w:rtl w:val="0"/>
        </w:rPr>
        <w:t xml:space="preserve">Throughout the year, services remained focused on low-barrier, relationship-based support, while responding to increasing housing insecurity, gaps in healthcare access, and the continued toxicity of the unregulated drug supply.</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2wi8u26ah3a5" w:id="2"/>
      <w:bookmarkEnd w:id="2"/>
      <w:r w:rsidDel="00000000" w:rsidR="00000000" w:rsidRPr="00000000">
        <w:rPr>
          <w:b w:val="1"/>
          <w:bCs w:val="1"/>
          <w:sz w:val="34"/>
          <w:szCs w:val="34"/>
          <w:rtl w:val="0"/>
        </w:rPr>
        <w:t xml:space="preserve">Demographics</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ebzfah2ricvd" w:id="3"/>
      <w:bookmarkEnd w:id="3"/>
      <w:r w:rsidDel="00000000" w:rsidR="00000000" w:rsidRPr="00000000">
        <w:rPr>
          <w:b w:val="1"/>
          <w:bCs w:val="1"/>
          <w:color w:val="000000"/>
          <w:sz w:val="26"/>
          <w:szCs w:val="26"/>
          <w:rtl w:val="0"/>
        </w:rPr>
        <w:t xml:space="preserve">Age Demographics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Teens: 2.9%</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20s: 4.4%</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30s: 34.1%</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40s: 31.0%</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50s: 12.3%</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rtl w:val="0"/>
        </w:rPr>
        <w:t xml:space="preserve">60+: 15.3%</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mgsyalgetu9x" w:id="4"/>
      <w:bookmarkEnd w:id="4"/>
      <w:r w:rsidDel="00000000" w:rsidR="00000000" w:rsidRPr="00000000">
        <w:rPr>
          <w:b w:val="1"/>
          <w:bCs w:val="1"/>
          <w:color w:val="000000"/>
          <w:sz w:val="26"/>
          <w:szCs w:val="26"/>
          <w:rtl w:val="0"/>
        </w:rPr>
        <w:t xml:space="preserve">Gender Demographics</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Male: 70%</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Female: 28%</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Transgender: 2%</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iknt1qget9c" w:id="5"/>
      <w:bookmarkEnd w:id="5"/>
      <w:r w:rsidDel="00000000" w:rsidR="00000000" w:rsidRPr="00000000">
        <w:rPr>
          <w:b w:val="1"/>
          <w:bCs w:val="1"/>
          <w:sz w:val="34"/>
          <w:szCs w:val="34"/>
          <w:rtl w:val="0"/>
        </w:rPr>
        <w:t xml:space="preserve">Services Provided</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tl w:val="0"/>
        </w:rPr>
        <w:t xml:space="preserve">Check-ins: 1,571</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Food support: 497</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Harm reduction distribution: 425</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Medical support: 290</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eOPS services: 278</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Extreme cold supplies: 129</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REDUN supports: 67</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Community clean-up participation: 39</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Housing supports: 35</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Phones distributed: 28</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Referrals: 27</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OAT supports: 25</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Pool access: 23</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Wound care: 16</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Criminal justice supports: 14</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Drug checking: 14</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Treatment/detox supports: 10</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Transportation/rides: 7</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PWD applications: 7</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Education supports: 5</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Laundry access: 4</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6t3i9j6p0ewo" w:id="6"/>
      <w:bookmarkEnd w:id="6"/>
      <w:r w:rsidDel="00000000" w:rsidR="00000000" w:rsidRPr="00000000">
        <w:rPr>
          <w:b w:val="1"/>
          <w:bCs w:val="1"/>
          <w:sz w:val="46"/>
          <w:szCs w:val="46"/>
          <w:rtl w:val="0"/>
        </w:rPr>
        <w:t xml:space="preserve">Key Achievements</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wj3c0v79g74p" w:id="7"/>
      <w:bookmarkEnd w:id="7"/>
      <w:r w:rsidDel="00000000" w:rsidR="00000000" w:rsidRPr="00000000">
        <w:rPr>
          <w:b w:val="1"/>
          <w:bCs w:val="1"/>
          <w:sz w:val="34"/>
          <w:szCs w:val="34"/>
          <w:rtl w:val="0"/>
        </w:rPr>
        <w:t xml:space="preserve">Coordinated Access HUB</w:t>
      </w:r>
    </w:p>
    <w:p w:rsidR="00000000" w:rsidDel="00000000" w:rsidP="00000000" w:rsidRDefault="00000000" w:rsidRPr="00000000" w14:paraId="0000002C">
      <w:pPr>
        <w:spacing w:after="240" w:before="240" w:lineRule="auto"/>
        <w:rPr/>
      </w:pPr>
      <w:r w:rsidDel="00000000" w:rsidR="00000000" w:rsidRPr="00000000">
        <w:rPr>
          <w:rtl w:val="0"/>
        </w:rPr>
        <w:t xml:space="preserve">The Coordinated Access HUB continued to be a major success throughout the year. Operating one day per week, the HUB provided low-barrier access to multiple essential services in one location, including medical care, housing support, harm reduction, peer support, food access, advocacy, and hygiene services.</w:t>
      </w:r>
    </w:p>
    <w:p w:rsidR="00000000" w:rsidDel="00000000" w:rsidP="00000000" w:rsidRDefault="00000000" w:rsidRPr="00000000" w14:paraId="0000002D">
      <w:pPr>
        <w:spacing w:after="240" w:before="240" w:lineRule="auto"/>
        <w:rPr/>
      </w:pPr>
      <w:r w:rsidDel="00000000" w:rsidR="00000000" w:rsidRPr="00000000">
        <w:rPr>
          <w:rtl w:val="0"/>
        </w:rPr>
        <w:t xml:space="preserve">The HUB significantly improved collaboration between service providers while reducing barriers for individuals who may not otherwise access traditional systems of care. It also created opportunities to connect with individuals experiencing hidden or less visible housing instability.</w:t>
      </w:r>
    </w:p>
    <w:p w:rsidR="00000000" w:rsidDel="00000000" w:rsidP="00000000" w:rsidRDefault="00000000" w:rsidRPr="00000000" w14:paraId="0000002E">
      <w:pPr>
        <w:spacing w:after="240" w:before="240" w:lineRule="auto"/>
        <w:rPr/>
      </w:pPr>
      <w:r w:rsidDel="00000000" w:rsidR="00000000" w:rsidRPr="00000000">
        <w:rPr>
          <w:rtl w:val="0"/>
        </w:rPr>
        <w:t xml:space="preserve">Despite its success, the HUB remains under-resourced relative to the level of community need, and expanded operating days would greatly improve accessibility and continuity of support.</w:t>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xojlqwohldd" w:id="8"/>
      <w:bookmarkEnd w:id="8"/>
      <w:r w:rsidDel="00000000" w:rsidR="00000000" w:rsidRPr="00000000">
        <w:rPr>
          <w:b w:val="1"/>
          <w:bCs w:val="1"/>
          <w:sz w:val="34"/>
          <w:szCs w:val="34"/>
          <w:rtl w:val="0"/>
        </w:rPr>
        <w:t xml:space="preserve">Improved Access to Medical Care</w:t>
      </w:r>
    </w:p>
    <w:p w:rsidR="00000000" w:rsidDel="00000000" w:rsidP="00000000" w:rsidRDefault="00000000" w:rsidRPr="00000000" w14:paraId="00000030">
      <w:pPr>
        <w:spacing w:after="240" w:before="240" w:lineRule="auto"/>
        <w:rPr/>
      </w:pPr>
      <w:r w:rsidDel="00000000" w:rsidR="00000000" w:rsidRPr="00000000">
        <w:rPr>
          <w:rtl w:val="0"/>
        </w:rPr>
        <w:t xml:space="preserve">A strong working relationship with a local physician allowed outreach clients to access same-day appointments when individuals were ready and willing to engage in care. This partnership helped reduce barriers to healthcare and improved access for individuals living with complex and unstable circumstances.</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qulya0bpw1r3" w:id="9"/>
      <w:bookmarkEnd w:id="9"/>
      <w:r w:rsidDel="00000000" w:rsidR="00000000" w:rsidRPr="00000000">
        <w:rPr>
          <w:b w:val="1"/>
          <w:bCs w:val="1"/>
          <w:sz w:val="34"/>
          <w:szCs w:val="34"/>
          <w:rtl w:val="0"/>
        </w:rPr>
        <w:t xml:space="preserve">Encampment Outreach &amp; Community Coordination</w:t>
      </w:r>
    </w:p>
    <w:p w:rsidR="00000000" w:rsidDel="00000000" w:rsidP="00000000" w:rsidRDefault="00000000" w:rsidRPr="00000000" w14:paraId="00000032">
      <w:pPr>
        <w:spacing w:after="240" w:before="240" w:lineRule="auto"/>
        <w:rPr/>
      </w:pPr>
      <w:r w:rsidDel="00000000" w:rsidR="00000000" w:rsidRPr="00000000">
        <w:rPr>
          <w:rtl w:val="0"/>
        </w:rPr>
        <w:t xml:space="preserve">Outreach teams continued regular engagement at local encampments throughout the year to ensure individuals unable or unwilling to access centralized services still received support, supplies, and connection to care.</w:t>
      </w:r>
    </w:p>
    <w:p w:rsidR="00000000" w:rsidDel="00000000" w:rsidP="00000000" w:rsidRDefault="00000000" w:rsidRPr="00000000" w14:paraId="00000033">
      <w:pPr>
        <w:spacing w:after="240" w:before="240" w:lineRule="auto"/>
        <w:rPr/>
      </w:pPr>
      <w:r w:rsidDel="00000000" w:rsidR="00000000" w:rsidRPr="00000000">
        <w:rPr>
          <w:rtl w:val="0"/>
        </w:rPr>
        <w:t xml:space="preserve">Collaboration between encampment residents and the City of Nelson at the Government Road encampment led to improved coordination around garbage disposal and site maintenance in ways that were more respectful and self-directed.</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azk6zbau473r" w:id="10"/>
      <w:bookmarkEnd w:id="10"/>
      <w:r w:rsidDel="00000000" w:rsidR="00000000" w:rsidRPr="00000000">
        <w:rPr>
          <w:b w:val="1"/>
          <w:bCs w:val="1"/>
          <w:sz w:val="34"/>
          <w:szCs w:val="34"/>
          <w:rtl w:val="0"/>
        </w:rPr>
        <w:t xml:space="preserve">Peer-Led Employment Initiative</w:t>
      </w:r>
    </w:p>
    <w:p w:rsidR="00000000" w:rsidDel="00000000" w:rsidP="00000000" w:rsidRDefault="00000000" w:rsidRPr="00000000" w14:paraId="00000035">
      <w:pPr>
        <w:spacing w:after="240" w:before="240" w:lineRule="auto"/>
        <w:rPr/>
      </w:pPr>
      <w:r w:rsidDel="00000000" w:rsidR="00000000" w:rsidRPr="00000000">
        <w:rPr>
          <w:rtl w:val="0"/>
        </w:rPr>
        <w:t xml:space="preserve">Funding secured through the Anglican Church supported the launch of a same-day cash pay community clean-up initiative for people with lived and living experience (PWLLE). The project provided immediate income opportunities, community engagement, and increased visibility of peer leadership.</w:t>
      </w:r>
    </w:p>
    <w:p w:rsidR="00000000" w:rsidDel="00000000" w:rsidP="00000000" w:rsidRDefault="00000000" w:rsidRPr="00000000" w14:paraId="00000036">
      <w:pPr>
        <w:spacing w:after="240" w:before="240" w:lineRule="auto"/>
        <w:rPr/>
      </w:pPr>
      <w:r w:rsidDel="00000000" w:rsidR="00000000" w:rsidRPr="00000000">
        <w:rPr>
          <w:rtl w:val="0"/>
        </w:rPr>
        <w:t xml:space="preserve">The initiative was later presented at the West Kootenay Rural Homelessness Summit and received additional seed funding support from Selkirk College, with interest expressed for future collaboration.</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kbs0dan8zol7" w:id="11"/>
      <w:bookmarkEnd w:id="11"/>
      <w:r w:rsidDel="00000000" w:rsidR="00000000" w:rsidRPr="00000000">
        <w:rPr>
          <w:b w:val="1"/>
          <w:bCs w:val="1"/>
          <w:sz w:val="34"/>
          <w:szCs w:val="34"/>
          <w:rtl w:val="0"/>
        </w:rPr>
        <w:t xml:space="preserve">Peer-Led Harm Reduction Advocacy</w:t>
      </w:r>
    </w:p>
    <w:p w:rsidR="00000000" w:rsidDel="00000000" w:rsidP="00000000" w:rsidRDefault="00000000" w:rsidRPr="00000000" w14:paraId="00000038">
      <w:pPr>
        <w:spacing w:after="240" w:before="240" w:lineRule="auto"/>
        <w:rPr/>
      </w:pPr>
      <w:r w:rsidDel="00000000" w:rsidR="00000000" w:rsidRPr="00000000">
        <w:rPr>
          <w:rtl w:val="0"/>
        </w:rPr>
        <w:t xml:space="preserve">On April 14th, REDUN organized a peer-led inhalation tent to mark the anniversary of British Columbia’s overdose public health emergency and draw attention to the lack of inhalation overdose prevention services in the region.</w:t>
      </w:r>
    </w:p>
    <w:p w:rsidR="00000000" w:rsidDel="00000000" w:rsidP="00000000" w:rsidRDefault="00000000" w:rsidRPr="00000000" w14:paraId="00000039">
      <w:pPr>
        <w:spacing w:after="240" w:before="240" w:lineRule="auto"/>
        <w:rPr/>
      </w:pPr>
      <w:r w:rsidDel="00000000" w:rsidR="00000000" w:rsidRPr="00000000">
        <w:rPr>
          <w:rtl w:val="0"/>
        </w:rPr>
        <w:t xml:space="preserve">The initiative demonstrated the effectiveness and accessibility of peer-led harm reduction responses when barriers are minimized and people with lived experience are empowered to lead.</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lylmntr3tvin" w:id="12"/>
      <w:bookmarkEnd w:id="12"/>
      <w:r w:rsidDel="00000000" w:rsidR="00000000" w:rsidRPr="00000000">
        <w:rPr>
          <w:b w:val="1"/>
          <w:bCs w:val="1"/>
          <w:sz w:val="46"/>
          <w:szCs w:val="46"/>
          <w:rtl w:val="0"/>
        </w:rPr>
        <w:t xml:space="preserve">Ongoing Challenges</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rqlhd5h3uv57" w:id="13"/>
      <w:bookmarkEnd w:id="13"/>
      <w:r w:rsidDel="00000000" w:rsidR="00000000" w:rsidRPr="00000000">
        <w:rPr>
          <w:b w:val="1"/>
          <w:bCs w:val="1"/>
          <w:sz w:val="34"/>
          <w:szCs w:val="34"/>
          <w:rtl w:val="0"/>
        </w:rPr>
        <w:t xml:space="preserve">Housing Crisis</w:t>
      </w:r>
    </w:p>
    <w:p w:rsidR="00000000" w:rsidDel="00000000" w:rsidP="00000000" w:rsidRDefault="00000000" w:rsidRPr="00000000" w14:paraId="0000003D">
      <w:pPr>
        <w:spacing w:after="240" w:before="240" w:lineRule="auto"/>
        <w:rPr/>
      </w:pPr>
      <w:r w:rsidDel="00000000" w:rsidR="00000000" w:rsidRPr="00000000">
        <w:rPr>
          <w:rtl w:val="0"/>
        </w:rPr>
        <w:t xml:space="preserve">Housing instability remains one of the most urgent issues affecting the community. There continues to be a severe shortage of safe, stable, supportive, and low-barrier housing options. Many individuals continue cycling between encampments, shelters, unsafe housing, and homelessness without long-term solutions.</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7e3je2yfiys9" w:id="14"/>
      <w:bookmarkEnd w:id="14"/>
      <w:r w:rsidDel="00000000" w:rsidR="00000000" w:rsidRPr="00000000">
        <w:rPr>
          <w:b w:val="1"/>
          <w:bCs w:val="1"/>
          <w:sz w:val="34"/>
          <w:szCs w:val="34"/>
          <w:rtl w:val="0"/>
        </w:rPr>
        <w:t xml:space="preserve">Mental Health &amp; Substance Use Service Gaps</w:t>
      </w:r>
    </w:p>
    <w:p w:rsidR="00000000" w:rsidDel="00000000" w:rsidP="00000000" w:rsidRDefault="00000000" w:rsidRPr="00000000" w14:paraId="0000003F">
      <w:pPr>
        <w:spacing w:after="240" w:before="240" w:lineRule="auto"/>
        <w:rPr/>
      </w:pPr>
      <w:r w:rsidDel="00000000" w:rsidR="00000000" w:rsidRPr="00000000">
        <w:rPr>
          <w:rtl w:val="0"/>
        </w:rPr>
        <w:t xml:space="preserve">Access to mental health care and substance use treatment remains inconsistent and difficult to navigate, particularly in rural communities. Community members continue to face long waitlists, transportation barriers, restrictive eligibility criteria, and limited continuity of care.</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wqnih7l4sj6y" w:id="15"/>
      <w:bookmarkEnd w:id="15"/>
      <w:r w:rsidDel="00000000" w:rsidR="00000000" w:rsidRPr="00000000">
        <w:rPr>
          <w:b w:val="1"/>
          <w:bCs w:val="1"/>
          <w:sz w:val="34"/>
          <w:szCs w:val="34"/>
          <w:rtl w:val="0"/>
        </w:rPr>
        <w:t xml:space="preserve">Toxic Drug Supply</w:t>
      </w:r>
    </w:p>
    <w:p w:rsidR="00000000" w:rsidDel="00000000" w:rsidP="00000000" w:rsidRDefault="00000000" w:rsidRPr="00000000" w14:paraId="00000041">
      <w:pPr>
        <w:spacing w:after="240" w:before="240" w:lineRule="auto"/>
        <w:rPr/>
      </w:pPr>
      <w:r w:rsidDel="00000000" w:rsidR="00000000" w:rsidRPr="00000000">
        <w:rPr>
          <w:rtl w:val="0"/>
        </w:rPr>
        <w:t xml:space="preserve">The local toxic drug supply continued to become increasingly unpredictable and dangerous. The emergence of medetomidine introduced additional complications including prolonged sedation, extended overdose response times, and increased vulnerability following overdose events.</w:t>
      </w:r>
    </w:p>
    <w:p w:rsidR="00000000" w:rsidDel="00000000" w:rsidP="00000000" w:rsidRDefault="00000000" w:rsidRPr="00000000" w14:paraId="00000042">
      <w:pPr>
        <w:spacing w:after="240" w:before="240" w:lineRule="auto"/>
        <w:rPr/>
      </w:pPr>
      <w:r w:rsidDel="00000000" w:rsidR="00000000" w:rsidRPr="00000000">
        <w:rPr>
          <w:rtl w:val="0"/>
        </w:rPr>
        <w:t xml:space="preserve">These challenges placed additional strain on already limited outreach capacity while the region continues to lack inhalation overdose prevention services.</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3fvcj2350bor" w:id="16"/>
      <w:bookmarkEnd w:id="16"/>
      <w:r w:rsidDel="00000000" w:rsidR="00000000" w:rsidRPr="00000000">
        <w:rPr>
          <w:b w:val="1"/>
          <w:bCs w:val="1"/>
          <w:sz w:val="34"/>
          <w:szCs w:val="34"/>
          <w:rtl w:val="0"/>
        </w:rPr>
        <w:t xml:space="preserve">Stigma &amp; Public Discourse</w:t>
      </w:r>
    </w:p>
    <w:p w:rsidR="00000000" w:rsidDel="00000000" w:rsidP="00000000" w:rsidRDefault="00000000" w:rsidRPr="00000000" w14:paraId="00000044">
      <w:pPr>
        <w:spacing w:after="240" w:before="240" w:lineRule="auto"/>
        <w:rPr/>
      </w:pPr>
      <w:r w:rsidDel="00000000" w:rsidR="00000000" w:rsidRPr="00000000">
        <w:rPr>
          <w:rtl w:val="0"/>
        </w:rPr>
        <w:t xml:space="preserve">Increasing stigma and hostile public discourse surrounding homelessness, substance use, and harm reduction created additional barriers for vulnerable individuals throughout the year. Misinformation and fear-based narratives contributed to growing division and increased opposition toward outreach and harm reduction services.</w:t>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6vfy7d10izz" w:id="17"/>
      <w:bookmarkEnd w:id="17"/>
      <w:r w:rsidDel="00000000" w:rsidR="00000000" w:rsidRPr="00000000">
        <w:rPr>
          <w:b w:val="1"/>
          <w:bCs w:val="1"/>
          <w:sz w:val="34"/>
          <w:szCs w:val="34"/>
          <w:rtl w:val="0"/>
        </w:rPr>
        <w:t xml:space="preserve">Government &amp; Policy Barriers</w:t>
      </w:r>
    </w:p>
    <w:p w:rsidR="00000000" w:rsidDel="00000000" w:rsidP="00000000" w:rsidRDefault="00000000" w:rsidRPr="00000000" w14:paraId="00000046">
      <w:pPr>
        <w:spacing w:after="240" w:before="240" w:lineRule="auto"/>
        <w:rPr/>
      </w:pPr>
      <w:r w:rsidDel="00000000" w:rsidR="00000000" w:rsidRPr="00000000">
        <w:rPr>
          <w:rtl w:val="0"/>
        </w:rPr>
        <w:t xml:space="preserve">Provincial policy changes, including the end of decriminalization and increased restrictions within safer supply programming, created additional challenges for rural residents. Many individuals are now required to travel long distances daily to access medications and services, creating unrealistic and unsafe barriers to care.</w:t>
      </w:r>
    </w:p>
    <w:p w:rsidR="00000000" w:rsidDel="00000000" w:rsidP="00000000" w:rsidRDefault="00000000" w:rsidRPr="00000000" w14:paraId="000000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bCs w:val="1"/>
          <w:sz w:val="46"/>
          <w:szCs w:val="46"/>
        </w:rPr>
      </w:pPr>
      <w:bookmarkStart w:colFirst="0" w:colLast="0" w:name="_dna9w3zc5sgk" w:id="18"/>
      <w:bookmarkEnd w:id="18"/>
      <w:r w:rsidDel="00000000" w:rsidR="00000000" w:rsidRPr="00000000">
        <w:rPr>
          <w:b w:val="1"/>
          <w:bCs w:val="1"/>
          <w:sz w:val="46"/>
          <w:szCs w:val="46"/>
          <w:rtl w:val="0"/>
        </w:rPr>
        <w:t xml:space="preserve">Human Impact</w:t>
      </w:r>
    </w:p>
    <w:p w:rsidR="00000000" w:rsidDel="00000000" w:rsidP="00000000" w:rsidRDefault="00000000" w:rsidRPr="00000000" w14:paraId="00000049">
      <w:pPr>
        <w:spacing w:after="240" w:before="240" w:lineRule="auto"/>
        <w:rPr/>
      </w:pPr>
      <w:r w:rsidDel="00000000" w:rsidR="00000000" w:rsidRPr="00000000">
        <w:rPr>
          <w:rtl w:val="0"/>
        </w:rPr>
        <w:t xml:space="preserve">Beyond the statistics, the emotional toll on the community remains significant. This year, community members, peers, clients, and loved ones were lost to overdose, poverty, violence, and systemic neglect. These losses continue to deeply impact outreach workers, service providers, peers, and the broader community.</w:t>
      </w:r>
    </w:p>
    <w:p w:rsidR="00000000" w:rsidDel="00000000" w:rsidP="00000000" w:rsidRDefault="00000000" w:rsidRPr="00000000" w14:paraId="0000004A">
      <w:pPr>
        <w:spacing w:after="240" w:before="240" w:lineRule="auto"/>
        <w:rPr/>
      </w:pPr>
      <w:r w:rsidDel="00000000" w:rsidR="00000000" w:rsidRPr="00000000">
        <w:rPr>
          <w:rtl w:val="0"/>
        </w:rPr>
        <w:t xml:space="preserve">At the same time, frontline workers continue to experience burnout, compassion fatigue, and chronic under-resourcing while still demonstrating extraordinary resilience, compassion, and commitment to community care.</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bCs w:val="1"/>
          <w:sz w:val="46"/>
          <w:szCs w:val="46"/>
        </w:rPr>
      </w:pPr>
      <w:bookmarkStart w:colFirst="0" w:colLast="0" w:name="_7ilr4lfgf5w8" w:id="19"/>
      <w:bookmarkEnd w:id="19"/>
      <w:r w:rsidDel="00000000" w:rsidR="00000000" w:rsidRPr="00000000">
        <w:rPr>
          <w:b w:val="1"/>
          <w:bCs w:val="1"/>
          <w:sz w:val="46"/>
          <w:szCs w:val="46"/>
          <w:rtl w:val="0"/>
        </w:rPr>
        <w:t xml:space="preserve">Conclusion &amp; Recommendations</w:t>
      </w:r>
    </w:p>
    <w:p w:rsidR="00000000" w:rsidDel="00000000" w:rsidP="00000000" w:rsidRDefault="00000000" w:rsidRPr="00000000" w14:paraId="0000004D">
      <w:pPr>
        <w:spacing w:after="240" w:before="240" w:lineRule="auto"/>
        <w:rPr/>
      </w:pPr>
      <w:r w:rsidDel="00000000" w:rsidR="00000000" w:rsidRPr="00000000">
        <w:rPr>
          <w:rtl w:val="0"/>
        </w:rPr>
        <w:t xml:space="preserve">The work being completed through Nelson eOPS and the Lived Expertise Coordinator role continues to provide essential, life-saving support for vulnerable community members. However, the growing scale of homelessness, toxic drug poisoning, and mental health challenges requires stronger systemic investment and long-term solutions.</w:t>
      </w:r>
    </w:p>
    <w:p w:rsidR="00000000" w:rsidDel="00000000" w:rsidP="00000000" w:rsidRDefault="00000000" w:rsidRPr="00000000" w14:paraId="0000004E">
      <w:pPr>
        <w:spacing w:after="240" w:before="240" w:lineRule="auto"/>
        <w:rPr/>
      </w:pPr>
      <w:r w:rsidDel="00000000" w:rsidR="00000000" w:rsidRPr="00000000">
        <w:rPr>
          <w:rtl w:val="0"/>
        </w:rPr>
        <w:t xml:space="preserve">Key priorities moving forward include:</w:t>
      </w:r>
    </w:p>
    <w:p w:rsidR="00000000" w:rsidDel="00000000" w:rsidP="00000000" w:rsidRDefault="00000000" w:rsidRPr="00000000" w14:paraId="0000004F">
      <w:pPr>
        <w:numPr>
          <w:ilvl w:val="0"/>
          <w:numId w:val="4"/>
        </w:numPr>
        <w:spacing w:after="0" w:afterAutospacing="0" w:before="240" w:lineRule="auto"/>
        <w:ind w:left="720" w:hanging="360"/>
      </w:pPr>
      <w:r w:rsidDel="00000000" w:rsidR="00000000" w:rsidRPr="00000000">
        <w:rPr>
          <w:rtl w:val="0"/>
        </w:rPr>
        <w:t xml:space="preserve">Expanded supportive and complex care housing</w:t>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tl w:val="0"/>
        </w:rPr>
        <w:t xml:space="preserve">Increased low-barrier HUB operations</w:t>
      </w:r>
    </w:p>
    <w:p w:rsidR="00000000" w:rsidDel="00000000" w:rsidP="00000000" w:rsidRDefault="00000000" w:rsidRPr="00000000" w14:paraId="00000051">
      <w:pPr>
        <w:numPr>
          <w:ilvl w:val="0"/>
          <w:numId w:val="4"/>
        </w:numPr>
        <w:spacing w:after="0" w:afterAutospacing="0" w:before="0" w:beforeAutospacing="0" w:lineRule="auto"/>
        <w:ind w:left="720" w:hanging="360"/>
      </w:pPr>
      <w:r w:rsidDel="00000000" w:rsidR="00000000" w:rsidRPr="00000000">
        <w:rPr>
          <w:rtl w:val="0"/>
        </w:rPr>
        <w:t xml:space="preserve">Improved mental health and substance use services</w:t>
      </w:r>
    </w:p>
    <w:p w:rsidR="00000000" w:rsidDel="00000000" w:rsidP="00000000" w:rsidRDefault="00000000" w:rsidRPr="00000000" w14:paraId="00000052">
      <w:pPr>
        <w:numPr>
          <w:ilvl w:val="0"/>
          <w:numId w:val="4"/>
        </w:numPr>
        <w:spacing w:after="0" w:afterAutospacing="0" w:before="0" w:beforeAutospacing="0" w:lineRule="auto"/>
        <w:ind w:left="720" w:hanging="360"/>
      </w:pPr>
      <w:r w:rsidDel="00000000" w:rsidR="00000000" w:rsidRPr="00000000">
        <w:rPr>
          <w:rtl w:val="0"/>
        </w:rPr>
        <w:t xml:space="preserve">Accessible safer supply and inhalation services</w:t>
      </w:r>
    </w:p>
    <w:p w:rsidR="00000000" w:rsidDel="00000000" w:rsidP="00000000" w:rsidRDefault="00000000" w:rsidRPr="00000000" w14:paraId="00000053">
      <w:pPr>
        <w:numPr>
          <w:ilvl w:val="0"/>
          <w:numId w:val="4"/>
        </w:numPr>
        <w:spacing w:after="0" w:afterAutospacing="0" w:before="0" w:beforeAutospacing="0" w:lineRule="auto"/>
        <w:ind w:left="720" w:hanging="360"/>
      </w:pPr>
      <w:r w:rsidDel="00000000" w:rsidR="00000000" w:rsidRPr="00000000">
        <w:rPr>
          <w:rtl w:val="0"/>
        </w:rPr>
        <w:t xml:space="preserve">Sustainable funding for peer-led initiatives</w:t>
      </w:r>
    </w:p>
    <w:p w:rsidR="00000000" w:rsidDel="00000000" w:rsidP="00000000" w:rsidRDefault="00000000" w:rsidRPr="00000000" w14:paraId="00000054">
      <w:pPr>
        <w:numPr>
          <w:ilvl w:val="0"/>
          <w:numId w:val="4"/>
        </w:numPr>
        <w:spacing w:after="0" w:afterAutospacing="0" w:before="0" w:beforeAutospacing="0" w:lineRule="auto"/>
        <w:ind w:left="720" w:hanging="360"/>
      </w:pPr>
      <w:r w:rsidDel="00000000" w:rsidR="00000000" w:rsidRPr="00000000">
        <w:rPr>
          <w:rtl w:val="0"/>
        </w:rPr>
        <w:t xml:space="preserve">Greater investment in rural and remote communities</w:t>
      </w:r>
    </w:p>
    <w:p w:rsidR="00000000" w:rsidDel="00000000" w:rsidP="00000000" w:rsidRDefault="00000000" w:rsidRPr="00000000" w14:paraId="00000055">
      <w:pPr>
        <w:numPr>
          <w:ilvl w:val="0"/>
          <w:numId w:val="4"/>
        </w:numPr>
        <w:spacing w:after="240" w:before="0" w:beforeAutospacing="0" w:lineRule="auto"/>
        <w:ind w:left="720" w:hanging="360"/>
      </w:pPr>
      <w:r w:rsidDel="00000000" w:rsidR="00000000" w:rsidRPr="00000000">
        <w:rPr>
          <w:rtl w:val="0"/>
        </w:rPr>
        <w:t xml:space="preserve">Evidence-based harm reduction policies</w:t>
      </w:r>
    </w:p>
    <w:p w:rsidR="00000000" w:rsidDel="00000000" w:rsidP="00000000" w:rsidRDefault="00000000" w:rsidRPr="00000000" w14:paraId="00000056">
      <w:pPr>
        <w:spacing w:after="240" w:before="240" w:lineRule="auto"/>
        <w:rPr/>
      </w:pPr>
      <w:r w:rsidDel="00000000" w:rsidR="00000000" w:rsidRPr="00000000">
        <w:rPr>
          <w:rtl w:val="0"/>
        </w:rPr>
        <w:t xml:space="preserve">This year’s data and community experiences continue to demonstrate that outreach services function as a critical safety net. However, meaningful structural investment and policy change are necessary to reduce preventable harm and loss.</w:t>
      </w:r>
    </w:p>
    <w:p w:rsidR="00000000" w:rsidDel="00000000" w:rsidP="00000000" w:rsidRDefault="00000000" w:rsidRPr="00000000" w14:paraId="00000057">
      <w:pPr>
        <w:spacing w:after="240" w:before="240" w:lineRule="auto"/>
        <w:rPr/>
      </w:pPr>
      <w:r w:rsidDel="00000000" w:rsidR="00000000" w:rsidRPr="00000000">
        <w:rPr>
          <w:rtl w:val="0"/>
        </w:rPr>
        <w:t xml:space="preserve">People need more than survival — they need safety, dignity, stability, care, and hope.</w:t>
      </w:r>
    </w:p>
    <w:p w:rsidR="00000000" w:rsidDel="00000000" w:rsidP="00000000" w:rsidRDefault="00000000" w:rsidRPr="00000000" w14:paraId="00000058">
      <w:pPr>
        <w:pStyle w:val="Heading1"/>
        <w:keepNext w:val="0"/>
        <w:keepLines w:val="0"/>
        <w:spacing w:before="480" w:lineRule="auto"/>
        <w:rPr>
          <w:b w:val="1"/>
          <w:bCs w:val="1"/>
          <w:sz w:val="46"/>
          <w:szCs w:val="46"/>
        </w:rPr>
      </w:pPr>
      <w:bookmarkStart w:colFirst="0" w:colLast="0" w:name="_e9k4f7ir1hav" w:id="20"/>
      <w:bookmarkEnd w:id="20"/>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